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1BC2">
      <w:pPr>
        <w:pStyle w:val="a3"/>
        <w:jc w:val="center"/>
        <w:rPr>
          <w:b/>
          <w:bCs/>
        </w:rPr>
      </w:pPr>
      <w:r>
        <w:rPr>
          <w:b/>
          <w:bCs/>
        </w:rPr>
        <w:t>Алданский городской Совет</w:t>
      </w:r>
    </w:p>
    <w:p w:rsidR="00000000" w:rsidRDefault="003D1BC2">
      <w:pPr>
        <w:pStyle w:val="a3"/>
        <w:jc w:val="center"/>
        <w:rPr>
          <w:b/>
          <w:bCs/>
        </w:rPr>
      </w:pPr>
      <w:r>
        <w:rPr>
          <w:b/>
          <w:bCs/>
        </w:rPr>
        <w:t>Алданского района</w:t>
      </w:r>
    </w:p>
    <w:p w:rsidR="00000000" w:rsidRDefault="003D1BC2">
      <w:pPr>
        <w:pStyle w:val="a3"/>
        <w:jc w:val="center"/>
        <w:rPr>
          <w:b/>
          <w:bCs/>
        </w:rPr>
      </w:pPr>
      <w:r>
        <w:rPr>
          <w:b/>
          <w:bCs/>
        </w:rPr>
        <w:t>Республики Саха ( Якутия )</w:t>
      </w:r>
    </w:p>
    <w:p w:rsidR="00000000" w:rsidRDefault="003D1BC2">
      <w:pPr>
        <w:pStyle w:val="a3"/>
        <w:jc w:val="center"/>
        <w:rPr>
          <w:b/>
          <w:bCs/>
        </w:rPr>
      </w:pPr>
      <w:r>
        <w:rPr>
          <w:b/>
          <w:bCs/>
          <w:lang w:val="en-US"/>
        </w:rPr>
        <w:t>XIX</w:t>
      </w:r>
      <w:r>
        <w:rPr>
          <w:b/>
          <w:bCs/>
        </w:rPr>
        <w:t xml:space="preserve"> сессия</w:t>
      </w:r>
    </w:p>
    <w:p w:rsidR="00000000" w:rsidRDefault="003D1BC2">
      <w:pPr>
        <w:pStyle w:val="a3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созыва</w:t>
      </w:r>
    </w:p>
    <w:p w:rsidR="00000000" w:rsidRDefault="003D1BC2">
      <w:pPr>
        <w:pStyle w:val="a3"/>
        <w:pBdr>
          <w:bottom w:val="single" w:sz="12" w:space="0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</w:t>
      </w:r>
    </w:p>
    <w:p w:rsidR="00000000" w:rsidRDefault="003D1BC2">
      <w:pPr>
        <w:pStyle w:val="a3"/>
        <w:jc w:val="both"/>
      </w:pPr>
    </w:p>
    <w:p w:rsidR="00000000" w:rsidRDefault="003D1BC2">
      <w:pPr>
        <w:pStyle w:val="1"/>
        <w:jc w:val="left"/>
      </w:pPr>
    </w:p>
    <w:p w:rsidR="00000000" w:rsidRDefault="003D1BC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 Е Ш Е Н И Е </w:t>
      </w:r>
    </w:p>
    <w:p w:rsidR="00000000" w:rsidRDefault="003D1BC2"/>
    <w:p w:rsidR="00000000" w:rsidRDefault="003D1BC2">
      <w:pPr>
        <w:jc w:val="center"/>
        <w:rPr>
          <w:sz w:val="28"/>
          <w:szCs w:val="28"/>
        </w:rPr>
      </w:pPr>
      <w:r>
        <w:t>от 7 октября  2011 года  № 19-3</w:t>
      </w:r>
    </w:p>
    <w:p w:rsidR="00000000" w:rsidRDefault="003D1BC2">
      <w:pPr>
        <w:pStyle w:val="3"/>
        <w:rPr>
          <w:b/>
          <w:bCs/>
          <w:sz w:val="22"/>
          <w:szCs w:val="22"/>
        </w:rPr>
      </w:pPr>
    </w:p>
    <w:p w:rsidR="00000000" w:rsidRDefault="003D1BC2">
      <w:pPr>
        <w:pStyle w:val="3"/>
        <w:rPr>
          <w:b/>
          <w:bCs/>
          <w:sz w:val="22"/>
          <w:szCs w:val="22"/>
        </w:rPr>
      </w:pPr>
    </w:p>
    <w:p w:rsidR="00000000" w:rsidRDefault="003D1BC2">
      <w:pPr>
        <w:pStyle w:val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порядка</w:t>
      </w:r>
      <w:r>
        <w:rPr>
          <w:b/>
          <w:bCs/>
          <w:sz w:val="24"/>
          <w:szCs w:val="24"/>
        </w:rPr>
        <w:t xml:space="preserve"> оплаты лицам, замещающих выборные</w:t>
      </w:r>
    </w:p>
    <w:p w:rsidR="00000000" w:rsidRDefault="003D1BC2">
      <w:pPr>
        <w:jc w:val="center"/>
        <w:rPr>
          <w:b/>
          <w:bCs/>
        </w:rPr>
      </w:pPr>
      <w:r>
        <w:rPr>
          <w:b/>
          <w:bCs/>
        </w:rPr>
        <w:t>муниципальные должности и муниципальным служащих, занимающих должности</w:t>
      </w:r>
    </w:p>
    <w:p w:rsidR="00000000" w:rsidRDefault="003D1BC2">
      <w:pPr>
        <w:jc w:val="center"/>
        <w:rPr>
          <w:b/>
          <w:bCs/>
        </w:rPr>
      </w:pPr>
      <w:r>
        <w:rPr>
          <w:b/>
          <w:bCs/>
        </w:rPr>
        <w:t>муниципальной службы в Администрации МО «Город Алдан»</w:t>
      </w:r>
    </w:p>
    <w:p w:rsidR="00000000" w:rsidRDefault="003D1BC2">
      <w:pPr>
        <w:jc w:val="center"/>
        <w:rPr>
          <w:b/>
          <w:bCs/>
          <w:sz w:val="28"/>
          <w:szCs w:val="28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г. N 131-ФЗ "Об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Федерации", Закона Республики Саха (Якутия) "О муниципальной службе в Республике Саха (Якутия)"480-З №975-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от 11 июля 2007г., Закона Республики Саха (Якутия) «О реестре муниципальных должностей и должностей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службы в Республики Саха (Якутия) и соотношения должностей муниципальной службы и должностей государственной службы Республики Саха (Якутия)» 535-З №1073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от 26 декабря 2007г. Закона Республики Саха (Якутия) «О ежемесячных и иных дополнительных вы</w:t>
      </w:r>
      <w:r>
        <w:rPr>
          <w:rFonts w:ascii="Times New Roman" w:hAnsi="Times New Roman" w:cs="Times New Roman"/>
          <w:sz w:val="28"/>
          <w:szCs w:val="28"/>
        </w:rPr>
        <w:t>платах муниципальным служащим в Республике Саха (Якутия)» 572-З №35-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от 19 июня 2008г. в целях определения порядка оплаты и стимулирования муниципальных служащих </w:t>
      </w:r>
    </w:p>
    <w:p w:rsidR="00000000" w:rsidRDefault="003D1BC2">
      <w:pPr>
        <w:pStyle w:val="ConsPlusNormal"/>
        <w:widowControl/>
        <w:ind w:firstLine="540"/>
        <w:jc w:val="both"/>
      </w:pPr>
    </w:p>
    <w:p w:rsidR="00000000" w:rsidRDefault="003D1BC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Алданский городской Совет </w:t>
      </w:r>
      <w:r>
        <w:rPr>
          <w:b/>
          <w:bCs/>
          <w:sz w:val="28"/>
          <w:szCs w:val="28"/>
        </w:rPr>
        <w:t>решил:</w:t>
      </w:r>
    </w:p>
    <w:p w:rsidR="00000000" w:rsidRDefault="003D1BC2">
      <w:pPr>
        <w:jc w:val="both"/>
        <w:rPr>
          <w:b/>
          <w:bCs/>
          <w:sz w:val="28"/>
          <w:szCs w:val="28"/>
        </w:rPr>
      </w:pPr>
    </w:p>
    <w:p w:rsidR="00000000" w:rsidRDefault="003D1BC2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Порядок оплаты труда лиц, замещающих </w:t>
      </w:r>
      <w:r>
        <w:rPr>
          <w:sz w:val="28"/>
          <w:szCs w:val="28"/>
        </w:rPr>
        <w:t>выборные муниципальные должности и муниципальных служащих, занимающих должности муниципальной службы в Администрации МО «Город Алдан»  в новой редакции согласно приложению.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главы по экономике обеспечить использование данных средств по целево</w:t>
      </w:r>
      <w:r>
        <w:rPr>
          <w:rFonts w:ascii="Times New Roman" w:hAnsi="Times New Roman" w:cs="Times New Roman"/>
          <w:sz w:val="28"/>
          <w:szCs w:val="28"/>
        </w:rPr>
        <w:t>му назначению под личную ответственность.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экономике, бюджету и контролю за использованием бюджетных средств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Решение  вступает в силу с 1 января 2012г.</w:t>
      </w:r>
    </w:p>
    <w:p w:rsidR="00000000" w:rsidRDefault="003D1B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000" w:rsidRDefault="003D1BC2">
      <w:pPr>
        <w:autoSpaceDE w:val="0"/>
        <w:autoSpaceDN w:val="0"/>
        <w:adjustRightInd w:val="0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А.Л. Бугай</w:t>
      </w: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ПОРЯДОК</w:t>
      </w:r>
    </w:p>
    <w:p w:rsidR="00000000" w:rsidRDefault="003D1BC2">
      <w:pPr>
        <w:jc w:val="center"/>
        <w:rPr>
          <w:b/>
          <w:bCs/>
        </w:rPr>
      </w:pPr>
    </w:p>
    <w:p w:rsidR="00000000" w:rsidRDefault="003D1BC2">
      <w:pPr>
        <w:jc w:val="center"/>
        <w:rPr>
          <w:b/>
          <w:bCs/>
        </w:rPr>
      </w:pPr>
    </w:p>
    <w:p w:rsidR="00000000" w:rsidRDefault="003D1BC2">
      <w:pPr>
        <w:jc w:val="center"/>
        <w:rPr>
          <w:b/>
          <w:bCs/>
        </w:rPr>
      </w:pPr>
    </w:p>
    <w:p w:rsidR="00000000" w:rsidRDefault="003D1BC2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ОПЛАТЫ ТРУДА МУНИЦИПАЛЬНЫХ СЛУЖАЩИХ, ЗАНИМАЮЩИХ ДОЛЖНОСТИ МУНИЦИПАЛЬНОЙ СЛУЖБЫ И ЛИЦ, ЗАМЕЩАЮЩИХ МУНИЦИПАЛЬНЫЕ ДОЛЖНОСТИ</w:t>
      </w:r>
    </w:p>
    <w:p w:rsidR="00000000" w:rsidRDefault="003D1BC2">
      <w:pPr>
        <w:jc w:val="center"/>
        <w:rPr>
          <w:b/>
          <w:bCs/>
          <w:sz w:val="28"/>
          <w:szCs w:val="28"/>
        </w:rPr>
      </w:pPr>
    </w:p>
    <w:p w:rsidR="00000000" w:rsidRDefault="003D1BC2">
      <w:pPr>
        <w:jc w:val="center"/>
        <w:rPr>
          <w:b/>
          <w:bCs/>
          <w:sz w:val="28"/>
          <w:szCs w:val="28"/>
        </w:rPr>
      </w:pPr>
    </w:p>
    <w:p w:rsidR="00000000" w:rsidRDefault="003D1BC2">
      <w:pPr>
        <w:jc w:val="right"/>
        <w:rPr>
          <w:sz w:val="28"/>
          <w:szCs w:val="28"/>
        </w:rPr>
      </w:pPr>
    </w:p>
    <w:p w:rsidR="00000000" w:rsidRDefault="003D1BC2">
      <w:pPr>
        <w:jc w:val="right"/>
        <w:rPr>
          <w:sz w:val="28"/>
          <w:szCs w:val="28"/>
        </w:rPr>
      </w:pPr>
    </w:p>
    <w:p w:rsidR="00000000" w:rsidRDefault="003D1BC2">
      <w:pPr>
        <w:jc w:val="right"/>
        <w:rPr>
          <w:sz w:val="28"/>
          <w:szCs w:val="28"/>
        </w:rPr>
      </w:pPr>
    </w:p>
    <w:p w:rsidR="00000000" w:rsidRDefault="003D1BC2">
      <w:pPr>
        <w:jc w:val="right"/>
        <w:rPr>
          <w:sz w:val="28"/>
          <w:szCs w:val="28"/>
        </w:rPr>
      </w:pPr>
    </w:p>
    <w:p w:rsidR="00000000" w:rsidRDefault="003D1B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Принято: </w:t>
      </w:r>
    </w:p>
    <w:p w:rsidR="00000000" w:rsidRDefault="003D1B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Городским советом </w:t>
      </w:r>
    </w:p>
    <w:p w:rsidR="00000000" w:rsidRDefault="003D1BC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</w:t>
      </w:r>
    </w:p>
    <w:p w:rsidR="00000000" w:rsidRDefault="003D1BC2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Алдан»</w:t>
      </w:r>
    </w:p>
    <w:p w:rsidR="00000000" w:rsidRDefault="003D1BC2">
      <w:pPr>
        <w:jc w:val="right"/>
        <w:rPr>
          <w:sz w:val="28"/>
          <w:szCs w:val="28"/>
        </w:rPr>
      </w:pPr>
      <w:r>
        <w:rPr>
          <w:sz w:val="28"/>
          <w:szCs w:val="28"/>
        </w:rPr>
        <w:t>Алданского района</w:t>
      </w:r>
    </w:p>
    <w:p w:rsidR="00000000" w:rsidRDefault="003D1B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Саха (Якутия)</w:t>
      </w:r>
    </w:p>
    <w:p w:rsidR="00000000" w:rsidRDefault="003D1BC2">
      <w:pPr>
        <w:rPr>
          <w:sz w:val="28"/>
          <w:szCs w:val="28"/>
        </w:rPr>
      </w:pPr>
    </w:p>
    <w:p w:rsidR="00000000" w:rsidRDefault="003D1BC2">
      <w:pPr>
        <w:rPr>
          <w:sz w:val="28"/>
          <w:szCs w:val="28"/>
        </w:rPr>
      </w:pPr>
    </w:p>
    <w:p w:rsidR="00000000" w:rsidRDefault="003D1BC2">
      <w:pPr>
        <w:rPr>
          <w:sz w:val="28"/>
          <w:szCs w:val="28"/>
        </w:rPr>
      </w:pPr>
    </w:p>
    <w:p w:rsidR="00000000" w:rsidRDefault="003D1BC2">
      <w:pPr>
        <w:rPr>
          <w:sz w:val="28"/>
          <w:szCs w:val="28"/>
        </w:rPr>
      </w:pPr>
    </w:p>
    <w:p w:rsidR="00000000" w:rsidRDefault="003D1BC2">
      <w:pPr>
        <w:rPr>
          <w:sz w:val="28"/>
          <w:szCs w:val="28"/>
        </w:rPr>
      </w:pPr>
    </w:p>
    <w:p w:rsidR="00000000" w:rsidRDefault="003D1BC2">
      <w:pPr>
        <w:rPr>
          <w:sz w:val="28"/>
          <w:szCs w:val="28"/>
        </w:rPr>
      </w:pPr>
    </w:p>
    <w:p w:rsidR="00000000" w:rsidRDefault="003D1BC2">
      <w:pPr>
        <w:rPr>
          <w:sz w:val="28"/>
          <w:szCs w:val="28"/>
        </w:rPr>
      </w:pPr>
    </w:p>
    <w:p w:rsidR="00000000" w:rsidRDefault="003D1BC2">
      <w:pPr>
        <w:rPr>
          <w:sz w:val="28"/>
          <w:szCs w:val="28"/>
        </w:rPr>
      </w:pPr>
    </w:p>
    <w:p w:rsidR="00000000" w:rsidRDefault="003D1BC2">
      <w:pPr>
        <w:rPr>
          <w:sz w:val="28"/>
          <w:szCs w:val="28"/>
        </w:rPr>
      </w:pPr>
    </w:p>
    <w:p w:rsidR="00000000" w:rsidRDefault="003D1BC2">
      <w:pPr>
        <w:pStyle w:val="2"/>
      </w:pPr>
      <w:r>
        <w:t>Алдан-2011</w:t>
      </w:r>
    </w:p>
    <w:p w:rsidR="00000000" w:rsidRDefault="003D1BC2"/>
    <w:p w:rsidR="00000000" w:rsidRDefault="003D1BC2">
      <w:pPr>
        <w:ind w:firstLine="7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</w:p>
    <w:p w:rsidR="00000000" w:rsidRDefault="003D1BC2">
      <w:pPr>
        <w:ind w:firstLine="7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</w:t>
      </w:r>
      <w:r>
        <w:rPr>
          <w:sz w:val="28"/>
          <w:szCs w:val="28"/>
        </w:rPr>
        <w:t>ложение</w:t>
      </w:r>
    </w:p>
    <w:p w:rsidR="00000000" w:rsidRDefault="003D1BC2">
      <w:pPr>
        <w:ind w:left="50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>
        <w:rPr>
          <w:i/>
          <w:iCs/>
          <w:sz w:val="28"/>
          <w:szCs w:val="28"/>
        </w:rPr>
        <w:t>Городского совета МО«Город Алдан»</w:t>
      </w:r>
      <w:r>
        <w:rPr>
          <w:sz w:val="28"/>
          <w:szCs w:val="28"/>
        </w:rPr>
        <w:t xml:space="preserve">                                                                 </w:t>
      </w:r>
    </w:p>
    <w:p w:rsidR="00000000" w:rsidRDefault="003D1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«_7_» октября 2011 г. № 19-3</w:t>
      </w:r>
    </w:p>
    <w:p w:rsidR="00000000" w:rsidRDefault="003D1BC2">
      <w:pPr>
        <w:pStyle w:val="ConsPlusNormal"/>
        <w:widowControl/>
        <w:ind w:firstLine="0"/>
      </w:pPr>
    </w:p>
    <w:p w:rsidR="00000000" w:rsidRDefault="003D1BC2">
      <w:pPr>
        <w:pStyle w:val="ConsPlusNormal"/>
        <w:widowControl/>
        <w:ind w:firstLine="0"/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ПОРЯДОК</w:t>
      </w: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t xml:space="preserve">ОПЛАТЫ ТРУДА </w:t>
      </w:r>
      <w:r>
        <w:rPr>
          <w:rFonts w:ascii="Times New Roman" w:hAnsi="Times New Roman" w:cs="Times New Roman"/>
        </w:rPr>
        <w:t>ДЛЯ ЛИЦ, З</w:t>
      </w:r>
      <w:r>
        <w:rPr>
          <w:rFonts w:ascii="Times New Roman" w:hAnsi="Times New Roman" w:cs="Times New Roman"/>
        </w:rPr>
        <w:t xml:space="preserve">АМЕЩАЮЩИХМУНИЦИПАЛЬНЫЕ ДОЛЖНОСТИ И МУНИЦИПАЛЬНЫХ СЛУЖАЩИХ, ЗАНИМАЮЩИХ ДОЛЖНОСТИ МУНИЦИПАЛЬНОЙ СЛУЖБЫ </w:t>
      </w: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00000" w:rsidRDefault="003D1BC2">
      <w:pPr>
        <w:pStyle w:val="ConsPlusTitle"/>
        <w:widowControl/>
        <w:rPr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Данный Порядок оплаты труда муниципальных служащих, занимающих должности  муниципальной службы разработан на основании с  Законами Республик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 Саха (Якутия)  «О предельных нормативах денежного содержания муниципальных служащих в Республики Саха (Якутия)»  587-З № 65-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22 июля 2008г.,  «О ежемесячных и иных дополнительных выплатах  муниципальным служащим  в Республики Саха (Якутия)»   572-З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№  35 –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IV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19 июня 2008г., «О реестре муниципальных должностей  и должностей муниципальной службы в Республики Саха (Якутия) и соотношение должностей муниципальной службы  и должностей государственной гражданской службы республики Саха (Якутия)» 535- З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№ 1073-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26 декабря 2007г. и Постановлением Правительства Республики Саха (Якутия)№ 161 от 20 апреля 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О внесении в постановление Правительства Республики Саха (Якутия) от 17 июля 2008г. №296 «О предельных нормативах денежного вознаграждения лиц,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замещающих муниципальные должности в Республике Саха (Якутия)», Постановлением Правительства Республики Саха (Якутия) О внесении изменений в постановление Правительства Республики Саха (Якутия) от 20 апреля 2011 №160 «О предельных нормативах денежного сод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ержания муниципальных служащих в Республике Саха (Якутия) в соответствии  с Законом Республики Саха (Якутия) «Об оплате труда государственных гражданских служащих Республики Саха (Якутия)</w:t>
      </w:r>
    </w:p>
    <w:p w:rsidR="00000000" w:rsidRDefault="003D1BC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Данный Порядок определяет размер окладов, надбавок, размер преми</w:t>
      </w:r>
      <w:r>
        <w:rPr>
          <w:rFonts w:ascii="Times New Roman" w:hAnsi="Times New Roman" w:cs="Times New Roman"/>
        </w:rPr>
        <w:t>й к окладам при формировании фонда оплаты труда лиц, замещающих выборные муниципальные должности и муниципальных служащих, занимающих должности муниципальной службы администрации МО «Город Алдан», указанных в приложении N 1 к настоящему Порядку.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фор</w:t>
      </w:r>
      <w:r>
        <w:rPr>
          <w:rFonts w:ascii="Times New Roman" w:hAnsi="Times New Roman" w:cs="Times New Roman"/>
        </w:rPr>
        <w:t>мирования фонда оплаты труда лиц, замещающих выборные муниципальные должности и муниципальных служащих, занимающих должности муниципальной службы:</w:t>
      </w:r>
    </w:p>
    <w:p w:rsidR="00000000" w:rsidRDefault="003D1BC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366FF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Размеры д</w:t>
      </w:r>
      <w:r>
        <w:rPr>
          <w:rFonts w:ascii="Times New Roman" w:hAnsi="Times New Roman" w:cs="Times New Roman"/>
        </w:rPr>
        <w:t>олжностных окладов согласно приложению N 2 к настоящему Порядку.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Следующие доплаты и надбавки к установленным должностным окладам работников: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ежемесячную надбавку за сложность, напряженность и высокие достижения в труде на муниципальной службе дифф</w:t>
      </w:r>
      <w:r>
        <w:rPr>
          <w:rFonts w:ascii="Times New Roman" w:hAnsi="Times New Roman" w:cs="Times New Roman"/>
        </w:rPr>
        <w:t>еренцированно согласно реестра муниципальных должностей и должностей муниципальной службы в Республики Саха (Якутия):</w:t>
      </w:r>
    </w:p>
    <w:p w:rsidR="00000000" w:rsidRDefault="003D1B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главные должности – в размере 90-120 процентов должностного оклада;</w:t>
      </w:r>
    </w:p>
    <w:p w:rsidR="00000000" w:rsidRDefault="003D1B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ведущие должности – в размере 60-90 процентов должностного оклада;</w:t>
      </w:r>
      <w:r>
        <w:rPr>
          <w:rFonts w:ascii="Times New Roman" w:hAnsi="Times New Roman" w:cs="Times New Roman"/>
        </w:rPr>
        <w:t xml:space="preserve"> </w:t>
      </w:r>
    </w:p>
    <w:p w:rsidR="00000000" w:rsidRDefault="003D1B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старшие должности  - в размере 30-60 процентов должностного оклада;</w:t>
      </w:r>
    </w:p>
    <w:p w:rsidR="00000000" w:rsidRDefault="003D1B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младшие должности – в размере до  30 процентов должностного оклада.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ежемесячную процентную надбавку за выслугу лет к должностному окладу на муниципальной или государственной служб</w:t>
      </w:r>
      <w:r>
        <w:rPr>
          <w:rFonts w:ascii="Times New Roman" w:hAnsi="Times New Roman" w:cs="Times New Roman"/>
        </w:rPr>
        <w:t>е в следующих размерах при стаже работы: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1  до 5 лет      -   10 процентов;</w:t>
      </w:r>
    </w:p>
    <w:p w:rsidR="00000000" w:rsidRDefault="003D1BC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5 до 10 лет     -   15 процентов;</w:t>
      </w:r>
    </w:p>
    <w:p w:rsidR="00000000" w:rsidRDefault="003D1BC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10 до 15 лет   -   20 процентов;</w:t>
      </w:r>
    </w:p>
    <w:p w:rsidR="00000000" w:rsidRDefault="003D1BC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свыше 15 лет     -    30 процентов;</w:t>
      </w:r>
    </w:p>
    <w:p w:rsidR="00000000" w:rsidRDefault="003D1BC2">
      <w:pPr>
        <w:pStyle w:val="ConsPlusNonformat"/>
        <w:widowControl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</w:rPr>
        <w:t xml:space="preserve">     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:rsidR="00000000" w:rsidRDefault="003D1BC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в) ежемесячное денежное поощрение согласно реестра муниципальных должностей и должностей муниципальной службы в Республики Саха (Якутия):</w:t>
      </w:r>
    </w:p>
    <w:p w:rsidR="00000000" w:rsidRDefault="003D1BC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    глава города              - 15 должностных о</w:t>
      </w:r>
      <w:r>
        <w:rPr>
          <w:rFonts w:ascii="Times New Roman" w:hAnsi="Times New Roman" w:cs="Times New Roman"/>
        </w:rPr>
        <w:t>кладов</w:t>
      </w:r>
    </w:p>
    <w:p w:rsidR="00000000" w:rsidRDefault="003D1B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главные должности – 12 должностных окладов;</w:t>
      </w:r>
    </w:p>
    <w:p w:rsidR="00000000" w:rsidRDefault="003D1B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ведущие должности – 11 должностных  окладов;</w:t>
      </w:r>
    </w:p>
    <w:p w:rsidR="00000000" w:rsidRDefault="003D1B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старшие должности  - 10 должностных окладов;</w:t>
      </w:r>
    </w:p>
    <w:p w:rsidR="00000000" w:rsidRDefault="003D1B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младшие должности – 9  должностных окладов.</w:t>
      </w:r>
    </w:p>
    <w:p w:rsidR="00000000" w:rsidRDefault="003D1BC2">
      <w:pPr>
        <w:pStyle w:val="ConsPlusNonformat"/>
        <w:widowControl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в) премии по результатам работы в размере 2-х должн</w:t>
      </w:r>
      <w:r>
        <w:rPr>
          <w:rFonts w:ascii="Times New Roman" w:hAnsi="Times New Roman" w:cs="Times New Roman"/>
        </w:rPr>
        <w:t>остных окладов  в год;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материальную помощь в размере 3-х должностных окладов в год;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ежемесячная надбавка к должностному окладу за работу со сведениями составляющими государственную тайну 5-10 % от должностного оклада: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стаже работы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1до 5 лет –</w:t>
      </w:r>
      <w:r>
        <w:rPr>
          <w:rFonts w:ascii="Times New Roman" w:hAnsi="Times New Roman" w:cs="Times New Roman"/>
        </w:rPr>
        <w:t xml:space="preserve"> 10 процентов;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 до 10 лет – 15 процентов;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свыше 10 лет – 20 процентов</w:t>
      </w:r>
    </w:p>
    <w:p w:rsidR="00000000" w:rsidRDefault="003D1BC2">
      <w:pPr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.е) ежемесячная надбавка за классный чин согласно приложения №3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При установлении предельных нормативов денежного содержания муниципальных служащих Администрации МО «Горо</w:t>
      </w:r>
      <w:r>
        <w:rPr>
          <w:rFonts w:ascii="Times New Roman" w:hAnsi="Times New Roman" w:cs="Times New Roman"/>
        </w:rPr>
        <w:t>д Алдан», сверх суммы средств, направляемых на выплату должностных окладов, предусматриваются следующие средства на выплату (в расчете на год) согласно реестра должностей:</w:t>
      </w:r>
    </w:p>
    <w:p w:rsidR="00000000" w:rsidRDefault="003D1BC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главные должности – 49 должностных оклада;</w:t>
      </w:r>
    </w:p>
    <w:p w:rsidR="00000000" w:rsidRDefault="003D1B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ведущие должности – 44  должност</w:t>
      </w:r>
      <w:r>
        <w:rPr>
          <w:rFonts w:ascii="Times New Roman" w:hAnsi="Times New Roman" w:cs="Times New Roman"/>
        </w:rPr>
        <w:t>ных  окладов;</w:t>
      </w:r>
    </w:p>
    <w:p w:rsidR="00000000" w:rsidRDefault="003D1B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старшие должности  - 40  должностных окладов;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 младшие должности – 37  должностных окладов.</w:t>
      </w:r>
    </w:p>
    <w:p w:rsidR="00000000" w:rsidRDefault="003D1BC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Размер ежемесячного премирования устанавливается в соответствии с Положением о премировании, утвержденным главой города.</w:t>
      </w:r>
    </w:p>
    <w:p w:rsidR="00000000" w:rsidRDefault="003D1BC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 Нор</w:t>
      </w:r>
      <w:r>
        <w:rPr>
          <w:rFonts w:ascii="Times New Roman" w:hAnsi="Times New Roman" w:cs="Times New Roman"/>
        </w:rPr>
        <w:t>мативный фонд оплаты труда лиц, замещающих выборные муниципальные должности и должности муниципальной службы в Администрации МО «Город Алдан», формируется с учетом районного коэффициента и процентной надбавки к заработной плате за работу в районах Крайнего</w:t>
      </w:r>
      <w:r>
        <w:rPr>
          <w:rFonts w:ascii="Times New Roman" w:hAnsi="Times New Roman" w:cs="Times New Roman"/>
        </w:rPr>
        <w:t xml:space="preserve"> Севера и приравненных к ним местностях, установленных нормативно-правовыми актами Российской Федерации и Республики Саха (Якутия).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Начисление районного коэффициента и процентной надбавки за работу в районах Крайнего Севера и приравненных к ним местностях </w:t>
      </w:r>
      <w:r>
        <w:rPr>
          <w:rFonts w:ascii="Times New Roman" w:hAnsi="Times New Roman" w:cs="Times New Roman"/>
        </w:rPr>
        <w:t>производить на материальную помощь.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Индексация и повышение предельных нормативов денежного вознаграждения лиц, замещающих выборные муниципальные должности и муниципальных служащих, занимающих должности муниципальной службы, должностных окладов и классны</w:t>
      </w:r>
      <w:r>
        <w:rPr>
          <w:rFonts w:ascii="Times New Roman" w:hAnsi="Times New Roman" w:cs="Times New Roman"/>
        </w:rPr>
        <w:t>х чинов, установленного настоящим Порядком, производится в размерах и в сроки, определенные решением Правительства Республики Саха (Якутия).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города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А.Л. Бугай     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000000" w:rsidRDefault="003D1BC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оплаты труда для </w:t>
      </w:r>
    </w:p>
    <w:p w:rsidR="00000000" w:rsidRDefault="003D1BC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лиц, замещающих выборные</w:t>
      </w:r>
    </w:p>
    <w:p w:rsidR="00000000" w:rsidRDefault="003D1BC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муниципальные должности  и</w:t>
      </w:r>
    </w:p>
    <w:p w:rsidR="00000000" w:rsidRDefault="003D1BC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служащих,</w:t>
      </w:r>
    </w:p>
    <w:p w:rsidR="00000000" w:rsidRDefault="003D1BC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занимающих должности</w:t>
      </w:r>
      <w:r>
        <w:rPr>
          <w:rFonts w:ascii="Times New Roman" w:hAnsi="Times New Roman" w:cs="Times New Roman"/>
        </w:rPr>
        <w:t xml:space="preserve">                                </w:t>
      </w:r>
    </w:p>
    <w:p w:rsidR="00000000" w:rsidRDefault="003D1BC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муниципальной  службы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выборных муниципальных должностей и должностей м</w:t>
      </w:r>
      <w:r>
        <w:rPr>
          <w:rFonts w:ascii="Times New Roman" w:hAnsi="Times New Roman" w:cs="Times New Roman"/>
        </w:rPr>
        <w:t>униципальной службы в  Администрации МО «Город Алдан»</w:t>
      </w: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2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должностей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Главные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заместитель главы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Ведущи</w:t>
            </w:r>
            <w:r>
              <w:rPr>
                <w:rFonts w:ascii="Times New Roman" w:hAnsi="Times New Roman" w:cs="Times New Roman"/>
                <w:b/>
                <w:bCs/>
              </w:rPr>
              <w:t>е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финансового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Старшие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Зам. начальника отдела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Младшие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Специалист 2 разряда</w:t>
            </w:r>
          </w:p>
        </w:tc>
      </w:tr>
    </w:tbl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p w:rsidR="00000000" w:rsidRDefault="003D1BC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000000" w:rsidRDefault="003D1BC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оплаты труда для </w:t>
      </w:r>
    </w:p>
    <w:p w:rsidR="00000000" w:rsidRDefault="003D1BC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лиц, замещающих выборные</w:t>
      </w:r>
    </w:p>
    <w:p w:rsidR="00000000" w:rsidRDefault="003D1BC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муниципальные должности  и</w:t>
      </w:r>
    </w:p>
    <w:p w:rsidR="00000000" w:rsidRDefault="003D1BC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служащих,</w:t>
      </w:r>
    </w:p>
    <w:p w:rsidR="00000000" w:rsidRDefault="003D1BC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занимающих должности                                </w:t>
      </w:r>
    </w:p>
    <w:p w:rsidR="00000000" w:rsidRDefault="003D1BC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муниципальной  службы</w:t>
      </w:r>
    </w:p>
    <w:p w:rsidR="00000000" w:rsidRDefault="003D1BC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Размеры должностных окладов</w:t>
      </w: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выборных муниципальных должностей и должностей муниципально</w:t>
      </w:r>
      <w:r>
        <w:rPr>
          <w:rFonts w:ascii="Times New Roman" w:hAnsi="Times New Roman" w:cs="Times New Roman"/>
        </w:rPr>
        <w:t>й службы в  Администрации МО «Город Алдан»</w:t>
      </w:r>
    </w:p>
    <w:p w:rsidR="00000000" w:rsidRDefault="003D1BC2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0000" w:rsidRDefault="003D1BC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00000" w:rsidRDefault="003D1BC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5245"/>
        <w:gridCol w:w="35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должностей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Должностной оклад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 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должностей             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ДОЛЖНОСТИ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города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Главные должности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заместитель главы города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города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Ведущие должности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финансового контроля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Старшие должности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 отдела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Младшие должности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Специалист 2 разряда</w:t>
            </w: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000000" w:rsidRDefault="003D1B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000000" w:rsidRDefault="003D1B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3D1BC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000000" w:rsidRDefault="003D1BC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000000" w:rsidRDefault="003D1BC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000000" w:rsidRDefault="003D1BC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000000" w:rsidRDefault="003D1BC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</w:p>
    <w:p w:rsidR="00000000" w:rsidRDefault="003D1BC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000000" w:rsidRDefault="003D1BC2">
      <w:pPr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>
        <w:rPr>
          <w:sz w:val="20"/>
          <w:szCs w:val="20"/>
        </w:rPr>
        <w:t xml:space="preserve">орядку оплаты труда для </w:t>
      </w:r>
    </w:p>
    <w:p w:rsidR="00000000" w:rsidRDefault="003D1B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лиц, замещающих выборные </w:t>
      </w:r>
    </w:p>
    <w:p w:rsidR="00000000" w:rsidRDefault="003D1BC2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муниципальные должности и</w:t>
      </w:r>
    </w:p>
    <w:p w:rsidR="00000000" w:rsidRDefault="003D1B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муниципальных служащих, </w:t>
      </w:r>
    </w:p>
    <w:p w:rsidR="00000000" w:rsidRDefault="003D1B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занимающих должности </w:t>
      </w:r>
    </w:p>
    <w:p w:rsidR="00000000" w:rsidRDefault="003D1BC2">
      <w:pPr>
        <w:jc w:val="right"/>
      </w:pPr>
      <w:r>
        <w:rPr>
          <w:sz w:val="20"/>
          <w:szCs w:val="20"/>
        </w:rPr>
        <w:t>муниципальной службы</w:t>
      </w:r>
    </w:p>
    <w:p w:rsidR="00000000" w:rsidRDefault="003D1BC2"/>
    <w:tbl>
      <w:tblPr>
        <w:tblW w:w="8655" w:type="dxa"/>
        <w:tblCellMar>
          <w:left w:w="0" w:type="dxa"/>
          <w:right w:w="0" w:type="dxa"/>
        </w:tblCellMar>
        <w:tblLook w:val="0000"/>
      </w:tblPr>
      <w:tblGrid>
        <w:gridCol w:w="4580"/>
        <w:gridCol w:w="4075"/>
      </w:tblGrid>
      <w:tr w:rsidR="00000000">
        <w:trPr>
          <w:cantSplit/>
          <w:trHeight w:val="9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3D1BC2">
            <w:pPr>
              <w:jc w:val="center"/>
              <w:rPr>
                <w:rFonts w:ascii="Arial CYR" w:eastAsia="Arial Unicode MS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Классный чин муниципального служащего</w:t>
            </w:r>
          </w:p>
          <w:p w:rsidR="00000000" w:rsidRDefault="003D1BC2">
            <w:pPr>
              <w:jc w:val="center"/>
              <w:rPr>
                <w:rFonts w:ascii="Arial CYR" w:eastAsia="Arial Unicode MS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3D1BC2">
            <w:pPr>
              <w:jc w:val="center"/>
              <w:rPr>
                <w:rFonts w:ascii="Arial CYR" w:eastAsia="Arial Unicode MS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оклад за классный чин</w:t>
            </w:r>
          </w:p>
        </w:tc>
      </w:tr>
      <w:tr w:rsidR="00000000">
        <w:trPr>
          <w:cantSplit/>
          <w:trHeight w:val="9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Действительный муниципальный советник 3 класса</w:t>
            </w:r>
          </w:p>
          <w:p w:rsidR="00000000" w:rsidRDefault="003D1BC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</w:t>
            </w:r>
          </w:p>
        </w:tc>
      </w:tr>
      <w:tr w:rsidR="00000000">
        <w:trPr>
          <w:cantSplit/>
          <w:trHeight w:val="68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Муниципальный советник 1 класса</w:t>
            </w:r>
          </w:p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2429</w:t>
            </w:r>
          </w:p>
        </w:tc>
      </w:tr>
      <w:tr w:rsidR="00000000">
        <w:trPr>
          <w:cantSplit/>
          <w:trHeight w:val="708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Муниципальный советник  2 класса</w:t>
            </w:r>
          </w:p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2267</w:t>
            </w:r>
          </w:p>
        </w:tc>
      </w:tr>
      <w:tr w:rsidR="00000000">
        <w:trPr>
          <w:cantSplit/>
          <w:trHeight w:val="7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Муниципальный советник  3 класса</w:t>
            </w:r>
          </w:p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2105</w:t>
            </w:r>
          </w:p>
        </w:tc>
      </w:tr>
      <w:tr w:rsidR="00000000">
        <w:trPr>
          <w:cantSplit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Советник муниципальной службы 1 класса</w:t>
            </w:r>
          </w:p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1862</w:t>
            </w:r>
          </w:p>
        </w:tc>
      </w:tr>
      <w:tr w:rsidR="00000000">
        <w:trPr>
          <w:cantSplit/>
          <w:trHeight w:val="65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Советник муниципальной службы 2 класса</w:t>
            </w:r>
          </w:p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1700 </w:t>
            </w:r>
          </w:p>
        </w:tc>
      </w:tr>
      <w:tr w:rsidR="00000000">
        <w:trPr>
          <w:cantSplit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Советник муниципальной службы 3 </w:t>
            </w:r>
            <w:r>
              <w:rPr>
                <w:rFonts w:ascii="Arial CYR" w:hAnsi="Arial CYR" w:cs="Arial CYR"/>
                <w:sz w:val="20"/>
                <w:szCs w:val="20"/>
              </w:rPr>
              <w:t>класса</w:t>
            </w:r>
          </w:p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1538</w:t>
            </w:r>
          </w:p>
        </w:tc>
      </w:tr>
      <w:tr w:rsidR="00000000">
        <w:trPr>
          <w:cantSplit/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Референт муниципальной службы 1 класса</w:t>
            </w:r>
          </w:p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1457</w:t>
            </w:r>
          </w:p>
        </w:tc>
      </w:tr>
      <w:tr w:rsidR="00000000">
        <w:trPr>
          <w:cantSplit/>
          <w:trHeight w:val="4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1214</w:t>
            </w:r>
          </w:p>
        </w:tc>
      </w:tr>
      <w:tr w:rsidR="00000000">
        <w:trPr>
          <w:cantSplit/>
          <w:trHeight w:val="6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Референт муниципальной службы 3 класса</w:t>
            </w:r>
          </w:p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1134</w:t>
            </w:r>
          </w:p>
        </w:tc>
      </w:tr>
      <w:tr w:rsidR="00000000">
        <w:trPr>
          <w:cantSplit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Секретарь муниципальной службы 1 класса</w:t>
            </w:r>
          </w:p>
          <w:p w:rsidR="00000000" w:rsidRDefault="003D1BC2">
            <w:pPr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eastAsia="Arial Unicode MS" w:hAnsi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972</w:t>
            </w:r>
          </w:p>
        </w:tc>
      </w:tr>
      <w:tr w:rsidR="00000000">
        <w:trPr>
          <w:cantSplit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3D1B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890</w:t>
            </w:r>
          </w:p>
        </w:tc>
      </w:tr>
      <w:tr w:rsidR="00000000">
        <w:trPr>
          <w:cantSplit/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3D1BC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Секретарь </w:t>
            </w:r>
            <w:r>
              <w:rPr>
                <w:rFonts w:ascii="Arial CYR" w:hAnsi="Arial CYR" w:cs="Arial CYR"/>
                <w:sz w:val="20"/>
                <w:szCs w:val="20"/>
              </w:rPr>
              <w:t>муниципальной службы 3 класса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3D1BC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</w:t>
            </w:r>
          </w:p>
        </w:tc>
      </w:tr>
    </w:tbl>
    <w:p w:rsidR="00000000" w:rsidRDefault="003D1BC2"/>
    <w:p w:rsidR="003D1BC2" w:rsidRDefault="003D1BC2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sectPr w:rsidR="003D1BC2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0604"/>
    <w:multiLevelType w:val="hybridMultilevel"/>
    <w:tmpl w:val="E0187CBE"/>
    <w:lvl w:ilvl="0" w:tplc="32E4C13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7758CE"/>
    <w:rsid w:val="003D1BC2"/>
    <w:rsid w:val="0077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ConsultantPlus</dc:creator>
  <cp:lastModifiedBy>Admin</cp:lastModifiedBy>
  <cp:revision>2</cp:revision>
  <cp:lastPrinted>2011-11-10T23:31:00Z</cp:lastPrinted>
  <dcterms:created xsi:type="dcterms:W3CDTF">2015-12-21T02:28:00Z</dcterms:created>
  <dcterms:modified xsi:type="dcterms:W3CDTF">2015-12-21T02:28:00Z</dcterms:modified>
</cp:coreProperties>
</file>